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07E7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907E7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07E7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907E7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07E7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907E7F">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907E7F">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907E7F">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907E7F">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907E7F">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907E7F">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907E7F">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907E7F">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907E7F">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907E7F">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907E7F">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907E7F">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907E7F">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907E7F">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907E7F">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907E7F">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907E7F">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907E7F">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907E7F">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907E7F">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907E7F">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907E7F">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907E7F">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907E7F">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907E7F">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907E7F">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907E7F">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907E7F">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907E7F">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907E7F">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907E7F">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907E7F">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907E7F">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907E7F">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907E7F">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907E7F">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907E7F">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907E7F">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907E7F">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907E7F">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907E7F">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907E7F">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907E7F">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907E7F">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907E7F">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907E7F">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907E7F">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907E7F">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907E7F">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907E7F">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907E7F">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907E7F">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907E7F">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907E7F">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907E7F">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907E7F">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907E7F">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907E7F">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907E7F">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907E7F">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907E7F">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907E7F">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907E7F">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907E7F">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907E7F">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907E7F">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907E7F">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907E7F">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907E7F">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907E7F">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907E7F">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907E7F">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907E7F">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907E7F">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907E7F">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907E7F">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907E7F">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907E7F">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907E7F">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907E7F">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907E7F">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907E7F">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907E7F">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907E7F">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907E7F">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907E7F">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907E7F">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907E7F">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907E7F">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907E7F">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907E7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907E7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07E7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07E7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07E7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07E7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07E7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07E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07E7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07E7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07E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07E7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07E7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07E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07E7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07E7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07E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07E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07E7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907E7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907E7F"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907E7F"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907E7F"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907E7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907E7F"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907E7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907E7F"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907E7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907E7F"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907E7F"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907E7F"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07E7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907E7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07E7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907E7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07E7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07E7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07E7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07E7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07E7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07E7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07E7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907E7F"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907E7F"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07E7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07E7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07E7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907E7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07E7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07E7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bookmarkStart w:id="14" w:name="_Hlk128564658"/>
      <w:r w:rsidRPr="00020852">
        <w:t>None at the moment.</w:t>
      </w:r>
      <w:r w:rsidR="00731403">
        <w:t xml:space="preserve"> This, however, may change as new information comes to light, in which case the LADD will be amended to reflect such new information.</w:t>
      </w:r>
      <w:bookmarkEnd w:id="14"/>
    </w:p>
    <w:p w14:paraId="7CB3D511" w14:textId="2C4A7337" w:rsidR="00256B33" w:rsidRDefault="00907E7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907E7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07E7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9"/>
    </w:p>
    <w:p w14:paraId="230F23FB" w14:textId="159494DE" w:rsidR="009762AF" w:rsidRPr="00020852" w:rsidRDefault="00907E7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w:t>
      </w:r>
      <w:r w:rsidRPr="00020852">
        <w:rPr>
          <w:rFonts w:cs="Times New Roman"/>
          <w:bCs/>
          <w:szCs w:val="24"/>
        </w:rPr>
        <w:lastRenderedPageBreak/>
        <w:t>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907E7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07E7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07E7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07E7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07E7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07E7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07E7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07E7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07E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907E7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07E7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07E7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907E7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907E7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907E7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07E7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907E7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07E7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907E7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07E7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07E7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07E7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07E7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07E7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07E7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907E7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907E7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07E7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907E7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07E7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907E7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07E7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07E7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07E7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07E7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07E7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07E7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07E7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07E7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907E7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07E7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07E7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07E7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07E7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07E7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07E7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07E7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07E7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07E7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07E7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07E7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907E7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07E7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07E7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907E7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07E7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907E7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07E7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907E7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07E7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907E7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07E7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907E7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907E7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907E7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907E7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907E7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07E7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907E7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07E7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07E7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907E7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07E7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07E7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07E7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07E7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907E7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07E7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07E7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07E7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07E7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07E7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07E7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07E7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07E7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07E7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07E7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07E7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07E7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07E7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07E7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07E7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07E7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07E7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907E7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07E7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07E7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07E7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07E7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07E7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07E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907E7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07E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07E7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07E7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07E7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07E7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07E7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07E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07E7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07E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07E7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07E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07E7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907E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907E7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07E7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07E7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07E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07E7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07E7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07E7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907E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907E7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07E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07E7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07E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07E7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907E7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07E7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07E7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07E7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07E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07E7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07E7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07E7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07E7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907E7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07E7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07E7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07E7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07E7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07E7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07E7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07E7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07E7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07E7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07E7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07E7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07E7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07E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07E7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07E7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07E7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07E7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07E7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07E7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07E7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07E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07E7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907E7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907E7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907E7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07E7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07E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07E7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07E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907E7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907E7F"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907E7F"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07E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07E7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907E7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07E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07E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07E7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07E7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07E7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07E7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07E7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07E7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07E7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07E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07E7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07E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07E7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07E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07E7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07E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07E7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07E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07E7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07E7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07E7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07E7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07E7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07E7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07E7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07E7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07E7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07E7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07E7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07E7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07E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07E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07E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07E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07E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07E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07E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07E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07E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07E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07E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07E7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07E7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07E7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07E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07E7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07E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07E7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07E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07E7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07E7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07E7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07E7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07E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07E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07E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07E7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907E7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bookmarkStart w:id="131" w:name="_Hlk128564766"/>
      <w:r w:rsidRPr="00020852">
        <w:rPr>
          <w:rFonts w:cs="Times New Roman"/>
          <w:bCs/>
          <w:szCs w:val="24"/>
        </w:rPr>
        <w:t>The Davis-Stirling Act applies to the facts of this dispute.</w:t>
      </w:r>
      <w:bookmarkEnd w:id="131"/>
    </w:p>
    <w:p w14:paraId="4A4063D8" w14:textId="31DE8EA8" w:rsidR="00DF1B53" w:rsidRPr="00020852" w:rsidRDefault="00907E7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07E7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07E7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07E7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07E7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2" w:name="_Toc42862086"/>
      <w:r w:rsidRPr="00020852">
        <w:fldChar w:fldCharType="end"/>
      </w:r>
      <w:r w:rsidR="002970B7">
        <w:br/>
      </w:r>
      <w:r w:rsidR="00184ADF" w:rsidRPr="00020852">
        <w:t>Jurisdiction</w:t>
      </w:r>
      <w:bookmarkEnd w:id="13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3" w:name="_Toc42862087"/>
      <w:r w:rsidRPr="00020852">
        <w:fldChar w:fldCharType="end"/>
      </w:r>
      <w:r w:rsidR="002970B7">
        <w:br/>
      </w:r>
      <w:r w:rsidR="00C53B37" w:rsidRPr="00020852">
        <w:t>Arbitration</w:t>
      </w:r>
      <w:bookmarkEnd w:id="133"/>
    </w:p>
    <w:bookmarkStart w:id="134" w:name="_Hlk53658305"/>
    <w:p w14:paraId="5B261150" w14:textId="2505731A" w:rsidR="00C53B37" w:rsidRPr="00020852" w:rsidRDefault="00907E7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4"/>
    </w:p>
    <w:p w14:paraId="7BDB493A" w14:textId="77777777" w:rsidR="00745226" w:rsidRDefault="00907E7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5" w:name="_Hlk41900326"/>
      <w:r w:rsidR="00C53B37" w:rsidRPr="00020852">
        <w:rPr>
          <w:rFonts w:cs="Times New Roman"/>
          <w:bCs/>
          <w:szCs w:val="24"/>
        </w:rPr>
        <w:t xml:space="preserve">of the CC&amp;Rs contains </w:t>
      </w:r>
      <w:bookmarkStart w:id="136"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6"/>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5"/>
    </w:p>
    <w:p w14:paraId="5B9B612E" w14:textId="681B56BC" w:rsidR="00C53B37" w:rsidRPr="00020852" w:rsidRDefault="00907E7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07E7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7" w:name="_Hlk41900374"/>
      <w:bookmarkStart w:id="138" w:name="_Hlk41900647"/>
      <w:r w:rsidRPr="00020852">
        <w:rPr>
          <w:rFonts w:cs="Times New Roman"/>
          <w:bCs/>
          <w:szCs w:val="24"/>
        </w:rPr>
        <w:t xml:space="preserve">Since there is no binding arbitration provision in the CC&amp;Rs, any litigation related to the dispute must take place in </w:t>
      </w:r>
      <w:bookmarkEnd w:id="137"/>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8"/>
      <w:r w:rsidRPr="00020852">
        <w:rPr>
          <w:rFonts w:cs="Times New Roman"/>
          <w:bCs/>
          <w:szCs w:val="24"/>
        </w:rPr>
        <w:t xml:space="preserve"> </w:t>
      </w:r>
    </w:p>
    <w:p w14:paraId="57CFB74E" w14:textId="5A6A05DD" w:rsidR="00C53B37" w:rsidRPr="00020852" w:rsidRDefault="00907E7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8"/>
      <w:r w:rsidRPr="00020852">
        <w:fldChar w:fldCharType="end"/>
      </w:r>
      <w:r w:rsidR="002970B7">
        <w:br/>
      </w:r>
      <w:r w:rsidRPr="00020852">
        <w:t>Personal Jurisdiction</w:t>
      </w:r>
      <w:bookmarkEnd w:id="139"/>
    </w:p>
    <w:p w14:paraId="32653B44" w14:textId="6751181B" w:rsidR="00702005" w:rsidRPr="00020852" w:rsidRDefault="00907E7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40"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40"/>
    </w:p>
    <w:p w14:paraId="721893E1" w14:textId="488FAC1B" w:rsidR="00702005" w:rsidRPr="00020852" w:rsidRDefault="00907E7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07E7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bookmarkStart w:id="141" w:name="_Hlk128564855"/>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bookmarkEnd w:id="141"/>
    </w:p>
    <w:p w14:paraId="46AEB9AE" w14:textId="381629D8" w:rsidR="00BF5410" w:rsidRPr="00020852" w:rsidRDefault="00907E7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42862089"/>
      <w:r w:rsidRPr="00020852">
        <w:fldChar w:fldCharType="end"/>
      </w:r>
      <w:r w:rsidR="002970B7">
        <w:br/>
      </w:r>
      <w:r w:rsidRPr="00020852">
        <w:t>Subject Matter Jurisdiction</w:t>
      </w:r>
      <w:bookmarkEnd w:id="14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3" w:name="_Hlk43294078"/>
    <w:p w14:paraId="2B7D1EB9" w14:textId="0AFEA4C2" w:rsidR="00422154" w:rsidRDefault="00907E7F"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bookmarkStart w:id="144" w:name="_Hlk128564892"/>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w:t>
      </w:r>
      <w:bookmarkEnd w:id="144"/>
      <w:r w:rsidR="00835A6B">
        <w:t xml:space="preserve"> </w:t>
      </w:r>
    </w:p>
    <w:bookmarkStart w:id="145" w:name="_Hlk43278950"/>
    <w:p w14:paraId="69B186E7" w14:textId="009A5021" w:rsidR="00422154" w:rsidRDefault="00907E7F"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07E7F"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07E7F"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5"/>
    <w:bookmarkEnd w:id="143"/>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6" w:name="_Toc42862091"/>
      <w:r w:rsidRPr="00020852">
        <w:fldChar w:fldCharType="end"/>
      </w:r>
      <w:r w:rsidR="002970B7">
        <w:br/>
      </w:r>
      <w:r w:rsidRPr="00020852">
        <w:t>Anti-SLAPP Analysis</w:t>
      </w:r>
      <w:bookmarkEnd w:id="146"/>
    </w:p>
    <w:p w14:paraId="5B72287F" w14:textId="77777777" w:rsidR="0088378A" w:rsidRDefault="00907E7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07E7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07E7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07E7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07E7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07E7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07E7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07E7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07E7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07E7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07E7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07E7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07E7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907E7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07E7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07E7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07E7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07E7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07E7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907E7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907E7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907E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07E7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07E7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07E7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bookmarkStart w:id="162" w:name="_Hlk128565328"/>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bookmarkEnd w:id="162"/>
    </w:p>
    <w:p w14:paraId="7BC01A9C" w14:textId="77777777" w:rsidR="00A35502" w:rsidRPr="00020852" w:rsidRDefault="00907E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07E7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907E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07E7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07E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07E7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907E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3" w:name="_Toc42862085"/>
      <w:r w:rsidRPr="00020852">
        <w:fldChar w:fldCharType="end"/>
      </w:r>
      <w:r>
        <w:br/>
      </w:r>
      <w:r w:rsidRPr="00020852">
        <w:t>Attorneys’ Fees and Costs</w:t>
      </w:r>
      <w:bookmarkEnd w:id="163"/>
    </w:p>
    <w:p w14:paraId="3F7F4487" w14:textId="7EBD735F" w:rsidR="00C70AD9" w:rsidRDefault="00907E7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bookmarkStart w:id="164" w:name="_Hlk128565482"/>
      <w:r>
        <w:t>T</w:t>
      </w:r>
      <w:r w:rsidRPr="00020852">
        <w:t>he prevailing party will be entitled to attorneys’ fees and costs under the Davis-Stirling Act.</w:t>
      </w:r>
      <w:bookmarkEnd w:id="164"/>
    </w:p>
    <w:p w14:paraId="2195E3A8" w14:textId="77777777" w:rsidR="00C70AD9" w:rsidRDefault="00907E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907E7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907E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907E7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907E7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907E7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907E7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6"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6"/>
    </w:p>
    <w:p w14:paraId="0E7FD39D" w14:textId="5CB84CD9" w:rsidR="0057244F" w:rsidRDefault="00907E7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5"/>
    </w:p>
    <w:p w14:paraId="5828B9B5" w14:textId="61325DEF" w:rsidR="00187D06" w:rsidRDefault="002A00E7" w:rsidP="001257C8">
      <w:pPr>
        <w:pStyle w:val="Line"/>
      </w:pPr>
      <w:bookmarkStart w:id="167" w:name="_Hlk43439444"/>
      <w:r w:rsidRPr="005C5314">
        <w:t>________________________________</w:t>
      </w:r>
      <w:bookmarkEnd w:id="167"/>
    </w:p>
    <w:p w14:paraId="6EA649A1" w14:textId="77777777" w:rsidR="00ED253D" w:rsidRDefault="00ED253D" w:rsidP="00DC1F51">
      <w:pPr>
        <w:spacing w:after="264"/>
        <w:ind w:left="2880"/>
        <w:rPr>
          <w:rFonts w:cs="Times New Roman"/>
        </w:rPr>
      </w:pPr>
    </w:p>
    <w:sectPr w:rsidR="00ED253D"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07E7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5DE"/>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07E7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141</Pages>
  <Words>41065</Words>
  <Characters>234072</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266</cp:revision>
  <cp:lastPrinted>2019-02-13T22:26:00Z</cp:lastPrinted>
  <dcterms:created xsi:type="dcterms:W3CDTF">2020-06-05T18:10:00Z</dcterms:created>
  <dcterms:modified xsi:type="dcterms:W3CDTF">2022-10-24T19:25:00Z</dcterms:modified>
</cp:coreProperties>
</file>