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D6CAD" w:rsidP="005C2B5C">
      <w:pPr>
        <w:spacing w:after="264"/>
        <w:jc w:val="center"/>
        <w:rPr>
          <w:rFonts w:cs="Times New Roman"/>
          <w:b/>
          <w:bCs/>
          <w:sz w:val="44"/>
          <w:szCs w:val="44"/>
        </w:rPr>
      </w:pPr>
      <w:r>
        <w:rPr>
          <w:rFonts w:cs="Times New Roman"/>
          <w:b/>
          <w:bCs/>
          <w:sz w:val="44"/>
          <w:szCs w:val="44"/>
        </w:rPr>
        <w:t>Brady v. Village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D6CAD" w:rsidP="00E31A1C">
      <w:pPr>
        <w:spacing w:afterLines="0" w:after="0"/>
        <w:jc w:val="center"/>
        <w:rPr>
          <w:rFonts w:cs="Times New Roman"/>
          <w:sz w:val="28"/>
          <w:szCs w:val="28"/>
        </w:rPr>
      </w:pPr>
      <w:r>
        <w:rPr>
          <w:rFonts w:cs="Times New Roman"/>
          <w:sz w:val="28"/>
          <w:szCs w:val="28"/>
        </w:rPr>
        <w:t>JB</w:t>
      </w:r>
    </w:p>
    <w:p w14:paraId="1B4DFB73" w14:textId="07DB7B22"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A1732">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D6CAD" w:rsidP="00ED2D7D">
      <w:pPr>
        <w:spacing w:after="264"/>
        <w:rPr>
          <w:rFonts w:cs="Times New Roman"/>
          <w:szCs w:val="24"/>
        </w:rPr>
      </w:pPr>
      <w:r>
        <w:rPr>
          <w:rFonts w:cs="Times New Roman"/>
          <w:szCs w:val="24"/>
        </w:rPr>
        <w:t>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w:t>
      </w:r>
      <w:r w:rsidR="003C492A" w:rsidRPr="0029680F">
        <w:rPr>
          <w:rFonts w:cs="Times New Roman"/>
          <w:szCs w:val="24"/>
        </w:rPr>
        <w:t xml:space="preserve"> </w:t>
      </w:r>
    </w:p>
    <w:p w14:paraId="2D729F4F" w14:textId="2D24F455" w:rsidR="00C345EA" w:rsidRPr="00582E6A" w:rsidRDefault="00C345EA" w:rsidP="001B1F3B">
      <w:pPr>
        <w:pStyle w:val="Line"/>
      </w:pPr>
      <w:bookmarkStart w:id="0" w:name="_Hlk43355799"/>
      <w:r w:rsidRPr="00D269F8">
        <w:t>________________________________</w:t>
      </w:r>
      <w:bookmarkEnd w:id="0"/>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D6CAD" w:rsidP="00EF2457">
            <w:pPr>
              <w:spacing w:afterLines="0" w:after="0"/>
              <w:rPr>
                <w:rFonts w:cs="Times New Roman"/>
                <w:sz w:val="20"/>
                <w:szCs w:val="20"/>
              </w:rPr>
            </w:pPr>
            <w:r>
              <w:rPr>
                <w:rFonts w:cs="Times New Roman"/>
                <w:sz w:val="20"/>
                <w:szCs w:val="20"/>
              </w:rPr>
              <w:t>Jan Brady</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D6CAD" w:rsidP="00EF2457">
            <w:pPr>
              <w:spacing w:afterLines="0" w:after="0"/>
              <w:rPr>
                <w:rFonts w:cs="Times New Roman"/>
                <w:sz w:val="20"/>
                <w:szCs w:val="20"/>
              </w:rPr>
            </w:pPr>
            <w:r>
              <w:rPr>
                <w:rFonts w:cs="Times New Roman"/>
                <w:sz w:val="20"/>
                <w:szCs w:val="20"/>
              </w:rPr>
              <w:t>Village Homeowners Association, Inc.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D6CAD"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D6CAD" w:rsidP="00EF2457">
            <w:pPr>
              <w:spacing w:afterLines="0" w:after="0"/>
              <w:rPr>
                <w:rFonts w:cs="Times New Roman"/>
                <w:sz w:val="20"/>
                <w:szCs w:val="20"/>
              </w:rPr>
            </w:pPr>
            <w:r>
              <w:rPr>
                <w:rFonts w:cs="Times New Roman"/>
                <w:sz w:val="20"/>
                <w:szCs w:val="20"/>
              </w:rPr>
              <w:t>Michelle Brown ("Brown")</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D6CAD" w:rsidP="00EF2457">
            <w:pPr>
              <w:spacing w:afterLines="0" w:after="0"/>
              <w:rPr>
                <w:rFonts w:cs="Times New Roman"/>
                <w:sz w:val="20"/>
                <w:szCs w:val="20"/>
              </w:rPr>
            </w:pPr>
            <w:r>
              <w:rPr>
                <w:rFonts w:cs="Times New Roman"/>
                <w:sz w:val="20"/>
                <w:szCs w:val="20"/>
              </w:rPr>
              <w:t>Bitch Next Door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1"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1"/>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p w14:paraId="7E42E17C" w14:textId="21CC5C99" w:rsidR="0075304D" w:rsidRDefault="009032FC" w:rsidP="0075304D">
      <w:pPr>
        <w:spacing w:after="264"/>
        <w:rPr>
          <w:rFonts w:cs="Times New Roman"/>
          <w:szCs w:val="24"/>
        </w:rPr>
      </w:pPr>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Client stated that she wasn’t sure if she was on title or not.</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Client wants to know if the direction of Brown’s security camera’s violates her privacy.</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lastRenderedPageBreak/>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8A1732">
      <w:pPr>
        <w:pStyle w:val="Heading1"/>
        <w:spacing w:after="264"/>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We need to get a title report.</w:t>
      </w:r>
    </w:p>
    <w:p w14:paraId="78B9BD76" w14:textId="14F66406"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Client indicated that on 6/10/21, he notified the HOA in writing about the leak. We want that email exchange.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lastRenderedPageBreak/>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390314" w:rsidP="00A42392">
      <w:pPr>
        <w:spacing w:after="264"/>
        <w:jc w:val="center"/>
        <w:rPr>
          <w:rFonts w:cs="Times New Roman"/>
          <w:b/>
          <w:bCs/>
          <w:color w:val="000099"/>
          <w:sz w:val="28"/>
          <w:szCs w:val="28"/>
        </w:rPr>
      </w:pPr>
      <w:r w:rsidRPr="00CC0856">
        <w:rPr>
          <w:rStyle w:val="Heading1Char"/>
        </w:rPr>
        <w:fldChar w:fldCharType="begin"/>
      </w:r>
      <w:r w:rsidRPr="00CC0856">
        <w:rPr>
          <w:rStyle w:val="Heading1Char"/>
        </w:rPr>
        <w:instrText xml:space="preserve"> LISTNUM LegalDefault \l 1 </w:instrText>
      </w:r>
      <w:r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p w14:paraId="51B9AF90" w14:textId="1264BD52" w:rsidR="00A653CD" w:rsidRPr="00371CEB" w:rsidRDefault="0098395A" w:rsidP="0072675B">
      <w:pPr>
        <w:spacing w:after="264"/>
        <w:ind w:left="1080" w:hanging="360"/>
        <w:rPr>
          <w:rFonts w:cs="Times New Roman"/>
          <w:bCs/>
          <w:szCs w:val="24"/>
        </w:rPr>
      </w:pPr>
      <w:bookmarkStart w:id="2" w:name="_Hlk41030505"/>
      <w:r>
        <w:rPr>
          <w:rFonts w:cs="Times New Roman"/>
          <w:szCs w:val="24"/>
        </w:rPr>
        <w:t xml:space="preserve">—  </w:t>
      </w:r>
      <w:bookmarkStart w:id="3"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3"/>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lastRenderedPageBreak/>
        <w:t>→</w:t>
      </w:r>
      <w:r w:rsidR="002A2AB2" w:rsidRPr="00371CEB">
        <w:rPr>
          <w:rFonts w:cs="Times New Roman"/>
          <w:bCs/>
          <w:szCs w:val="24"/>
        </w:rPr>
        <w:t xml:space="preserve">  </w:t>
      </w:r>
      <w:bookmarkStart w:id="4"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4"/>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2"/>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w:t>
      </w:r>
      <w:r w:rsidR="00DF2372" w:rsidRPr="00DF2372">
        <w:rPr>
          <w:rFonts w:cs="Times New Roman"/>
          <w:bCs/>
          <w:szCs w:val="24"/>
        </w:rPr>
        <w:lastRenderedPageBreak/>
        <w:t xml:space="preserve">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5"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5"/>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lastRenderedPageBreak/>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lastRenderedPageBreak/>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r>
        <w:rPr>
          <w:rFonts w:cs="Times New Roman"/>
          <w:bCs/>
          <w:szCs w:val="24"/>
        </w:rPr>
        <w:t>Section 13.4.5</w:t>
      </w:r>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lastRenderedPageBreak/>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lastRenderedPageBreak/>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lastRenderedPageBreak/>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lastRenderedPageBreak/>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7"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7"/>
      <w:r w:rsidR="007A1B9E">
        <w:rPr>
          <w:rFonts w:cs="Times New Roman"/>
          <w:bCs/>
          <w:szCs w:val="24"/>
        </w:rPr>
        <w:t xml:space="preserve"> </w:t>
      </w:r>
      <w:bookmarkStart w:id="8"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8"/>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lastRenderedPageBreak/>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lastRenderedPageBreak/>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lastRenderedPageBreak/>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r>
        <w:t>Breach of Statute (Civ Code section 12345)</w:t>
      </w:r>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Breach of Statute (Civ Code section 12345)</w:t>
      </w:r>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breach of statute (civ code section 12345)</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w:t>
      </w:r>
      <w:r w:rsidR="00577E04">
        <w:rPr>
          <w:rFonts w:cs="Times New Roman"/>
          <w:bCs/>
          <w:szCs w:val="24"/>
        </w:rPr>
        <w:lastRenderedPageBreak/>
        <w:t xml:space="preserve">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w:t>
      </w:r>
      <w:r w:rsidRPr="00FE539D">
        <w:rPr>
          <w:rFonts w:cs="Times New Roman"/>
          <w:bCs/>
          <w:szCs w:val="24"/>
        </w:rPr>
        <w:lastRenderedPageBreak/>
        <w:t xml:space="preserve">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w:t>
      </w:r>
      <w:r w:rsidR="00C343DA">
        <w:rPr>
          <w:rFonts w:cs="Times New Roman"/>
          <w:bCs/>
          <w:szCs w:val="24"/>
        </w:rPr>
        <w:lastRenderedPageBreak/>
        <w:t xml:space="preserve">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9"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9"/>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B0CBA5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407A95C8" w14:textId="77777777" w:rsidR="003F0E15" w:rsidRDefault="00ED6CAD" w:rsidP="002F0FB2">
      <w:pPr>
        <w:spacing w:after="264"/>
        <w:rPr>
          <w:rFonts w:cs="Times New Roman"/>
          <w:bCs/>
          <w:szCs w:val="24"/>
        </w:rPr>
      </w:pPr>
      <w:r>
        <w:rPr>
          <w:rFonts w:cs="Times New Roman"/>
          <w:bCs/>
          <w:szCs w:val="24"/>
        </w:rPr>
        <w:t>Section 7.3</w:t>
      </w:r>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D6CAD"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D6CAD" w:rsidP="00BA614F">
          <w:pPr>
            <w:pStyle w:val="Footer"/>
            <w:spacing w:after="264"/>
            <w:jc w:val="right"/>
            <w:rPr>
              <w:rFonts w:cs="Times New Roman"/>
              <w:sz w:val="18"/>
              <w:szCs w:val="18"/>
            </w:rPr>
          </w:pPr>
          <w:r>
            <w:rPr>
              <w:rFonts w:cs="Times New Roman"/>
              <w:sz w:val="18"/>
              <w:szCs w:val="18"/>
            </w:rPr>
            <w:t>Brady v. Village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154E"/>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1732"/>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56"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privileged documents (e.g., attorney-client privileged documents provided to director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30</Pages>
  <Words>10058</Words>
  <Characters>57334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179</cp:revision>
  <cp:lastPrinted>2020-05-21T21:26:00Z</cp:lastPrinted>
  <dcterms:created xsi:type="dcterms:W3CDTF">2020-06-05T16:34:00Z</dcterms:created>
  <dcterms:modified xsi:type="dcterms:W3CDTF">2022-10-20T15:45:00Z</dcterms:modified>
</cp:coreProperties>
</file>