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E542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E542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CE5420"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E542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E5420"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E5420"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E5420"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E542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E542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E542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E542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E542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E542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E542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E542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E5420"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E5420"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E5420"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E5420"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E542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E542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E542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E542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E542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E542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E542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E542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E542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E542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E5420"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E5420"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E542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E542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E542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E542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E5420"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CE542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E5420"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CE5420"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CE542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CE542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E5420"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E5420"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E5420"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E5420"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CE5420"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E5420"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E5420"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E5420"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E542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E5420"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E542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E5420"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E542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E5420"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E542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E542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E542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E542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E542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E542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E542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E5420"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E5420"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E542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E542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E5420"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CE542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E542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E5420"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E5420"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E5420"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CE5420"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CE5420"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CE5420"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CE5420"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E5420"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CE5420"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E5420"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E5420"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E5420"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E5420"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w:t>
      </w:r>
      <w:r>
        <w:rPr>
          <w:rFonts w:ascii="Cormorant Garamond" w:hAnsi="Cormorant Garamond" w:cs="Times New Roman"/>
          <w:sz w:val="20"/>
          <w:szCs w:val="20"/>
        </w:rPr>
        <w:lastRenderedPageBreak/>
        <w:t xml:space="preserve">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E5420"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w:t>
      </w:r>
      <w:r w:rsidR="009D7D81">
        <w:rPr>
          <w:rFonts w:ascii="Cormorant Garamond" w:hAnsi="Cormorant Garamond"/>
          <w:sz w:val="20"/>
          <w:szCs w:val="20"/>
        </w:rPr>
        <w:lastRenderedPageBreak/>
        <w:t xml:space="preserve">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CE5420"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CE5420"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CE5420"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CE5420"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1876B293"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A7581">
        <w:rPr>
          <w:rFonts w:ascii="Cormorant Garamond" w:hAnsi="Cormorant Garamond" w:cs="Times New Roman"/>
          <w:b/>
          <w:bCs/>
          <w:sz w:val="20"/>
          <w:szCs w:val="20"/>
          <w:u w:val="single"/>
        </w:rPr>
        <w:t>Not Responsible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E5"/>
    <w:rsid w:val="00CB54FA"/>
    <w:rsid w:val="00CB59ED"/>
    <w:rsid w:val="00CB6A92"/>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17</Pages>
  <Words>8434</Words>
  <Characters>48076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676</cp:revision>
  <cp:lastPrinted>2023-03-15T16:38:00Z</cp:lastPrinted>
  <dcterms:created xsi:type="dcterms:W3CDTF">2022-05-13T13:54:00Z</dcterms:created>
  <dcterms:modified xsi:type="dcterms:W3CDTF">2023-06-13T14:31:00Z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