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E3BF2" w:rsidP="00FD77B5">
      <w:pPr>
        <w:spacing w:afterLines="0" w:after="0"/>
        <w:jc w:val="center"/>
        <w:rPr>
          <w:rFonts w:cs="Times New Roman"/>
          <w:color w:val="000099"/>
          <w:sz w:val="52"/>
          <w:szCs w:val="52"/>
        </w:rPr>
      </w:pPr>
      <w:r>
        <w:rPr>
          <w:rFonts w:cs="Times New Roman"/>
          <w:color w:val="000099"/>
          <w:sz w:val="52"/>
          <w:szCs w:val="52"/>
        </w:rPr>
        <w:t>Kheir et. al. v. Shybary Grand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E3BF2" w:rsidP="00D66223">
      <w:pPr>
        <w:spacing w:afterLines="0" w:after="0"/>
        <w:jc w:val="center"/>
        <w:rPr>
          <w:rFonts w:cs="Times New Roman"/>
          <w:bCs/>
          <w:color w:val="000099"/>
          <w:sz w:val="28"/>
          <w:szCs w:val="28"/>
        </w:rPr>
      </w:pPr>
      <w:r>
        <w:rPr>
          <w:rFonts w:cs="Times New Roman"/>
          <w:bCs/>
          <w:color w:val="000099"/>
          <w:sz w:val="28"/>
          <w:szCs w:val="28"/>
        </w:rPr>
        <w:t>JG</w:t>
      </w:r>
    </w:p>
    <w:p w14:paraId="56F0E1E5" w14:textId="5279369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E3BF2">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0E3BF2">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0E3BF2">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0E3BF2">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0E3BF2">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0E3BF2">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0E3BF2">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0E3BF2">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0E3BF2">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0E3BF2">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0E3BF2">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0E3BF2">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0E3BF2">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0E3BF2">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0E3BF2">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0E3BF2">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0E3BF2">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0E3BF2">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0E3BF2">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0E3BF2">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0E3BF2">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0E3BF2">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0E3BF2">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0E3BF2">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0E3BF2">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0E3BF2">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0E3BF2">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0E3BF2">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0E3BF2">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0E3BF2">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0E3BF2">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0E3BF2">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0E3BF2">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0E3BF2">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0E3BF2">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0E3BF2">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0E3BF2">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0E3BF2">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0E3BF2">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0E3BF2">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0E3BF2">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0E3BF2">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0E3BF2">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0E3BF2">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0E3BF2">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0E3BF2">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0E3BF2">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0E3BF2">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0E3BF2">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0E3BF2">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0E3BF2">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0E3BF2">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0E3BF2">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0E3BF2">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0E3BF2">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0E3BF2">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0E3BF2">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0E3BF2">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0E3BF2">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0E3BF2">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0E3BF2">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0E3BF2">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0E3BF2">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0E3BF2">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0E3BF2">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0E3BF2">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0E3BF2">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0E3BF2">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0E3BF2">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0E3BF2">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0E3BF2">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0E3BF2">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0E3BF2">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0E3BF2">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0E3BF2">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0E3BF2">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0E3BF2">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0E3BF2">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0E3BF2">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0E3BF2">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0E3BF2">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0E3BF2">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0E3BF2">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0E3BF2">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0E3BF2">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0E3BF2">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0E3BF2">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0E3BF2">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0E3BF2">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0E3BF2">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0E3BF2">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0E3BF2" w:rsidP="00FB173A">
      <w:pPr>
        <w:pStyle w:val="NormalEnd"/>
      </w:pPr>
      <w:r>
        <w:t>TBD</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0E3BF2" w:rsidP="00246DB4">
            <w:pPr>
              <w:spacing w:afterLines="0" w:after="0"/>
              <w:rPr>
                <w:rFonts w:ascii="Times New Roman" w:hAnsi="Times New Roman" w:cs="Times New Roman"/>
                <w:sz w:val="20"/>
                <w:szCs w:val="20"/>
              </w:rPr>
            </w:pPr>
            <w:r>
              <w:rPr>
                <w:rFonts w:cs="Times New Roman"/>
                <w:sz w:val="20"/>
                <w:szCs w:val="20"/>
              </w:rPr>
              <w:t>Mary (Malice) Kheir</w:t>
            </w:r>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Wilson Lea</w:t>
            </w:r>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Client</w:t>
            </w:r>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Vessie Kazachka</w:t>
            </w:r>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Client</w:t>
            </w:r>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Mandy Doyle</w:t>
            </w:r>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Client</w:t>
            </w:r>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Richard Koons</w:t>
            </w:r>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Client</w:t>
            </w:r>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Kyle Blake</w:t>
            </w:r>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Client</w:t>
            </w:r>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bookmarkStart w:id="9" w:name="_Hlk41895314"/>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TBD</w:t>
      </w:r>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F32C066" w14:textId="190BE478" w:rsidR="001257C8" w:rsidRPr="001257C8" w:rsidRDefault="001257C8" w:rsidP="001257C8">
      <w:pPr>
        <w:pStyle w:val="Line"/>
      </w:pPr>
      <w:r w:rsidRPr="001257C8">
        <w:t>________________________________</w:t>
      </w:r>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bookmarkStart w:id="18" w:name="_Toc42862015"/>
    <w:p w14:paraId="3B7BC07F" w14:textId="607134FB" w:rsidR="00ED6719" w:rsidRPr="00797709" w:rsidRDefault="000E3BF2" w:rsidP="00797709">
      <w:pPr>
        <w:pStyle w:val="Heading1"/>
        <w:spacing w:after="264"/>
        <w:rPr>
          <w:bCs/>
        </w:rPr>
      </w:pPr>
      <w:bookmarkEnd w:id="18"/>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41032600"/>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83" w:name="_Toc42862044"/>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0E3BF2" w:rsidP="00ED253D">
      <w:pPr>
        <w:spacing w:after="264"/>
      </w:pPr>
      <w:r>
        <w:t>None at this time.</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F5AA" w14:textId="77777777" w:rsidR="007767F6" w:rsidRDefault="007767F6" w:rsidP="007B1C23">
      <w:pPr>
        <w:spacing w:after="264"/>
      </w:pPr>
      <w:r>
        <w:separator/>
      </w:r>
    </w:p>
    <w:p w14:paraId="527F4DC7" w14:textId="77777777" w:rsidR="007767F6" w:rsidRDefault="007767F6">
      <w:pPr>
        <w:spacing w:after="264"/>
      </w:pPr>
    </w:p>
  </w:endnote>
  <w:endnote w:type="continuationSeparator" w:id="0">
    <w:p w14:paraId="056249F5" w14:textId="77777777" w:rsidR="007767F6" w:rsidRDefault="007767F6" w:rsidP="007B1C23">
      <w:pPr>
        <w:spacing w:after="264"/>
      </w:pPr>
      <w:r>
        <w:continuationSeparator/>
      </w:r>
    </w:p>
    <w:p w14:paraId="26BBE84A" w14:textId="77777777" w:rsidR="007767F6" w:rsidRDefault="007767F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E3BF2"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Kheir et. al. v. Shybary Grand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9CAA" w14:textId="77777777" w:rsidR="007767F6" w:rsidRDefault="007767F6" w:rsidP="007B1C23">
      <w:pPr>
        <w:spacing w:after="264"/>
      </w:pPr>
      <w:r>
        <w:separator/>
      </w:r>
    </w:p>
    <w:p w14:paraId="41CFE05A" w14:textId="77777777" w:rsidR="007767F6" w:rsidRDefault="007767F6">
      <w:pPr>
        <w:spacing w:after="264"/>
      </w:pPr>
    </w:p>
  </w:footnote>
  <w:footnote w:type="continuationSeparator" w:id="0">
    <w:p w14:paraId="214CB499" w14:textId="77777777" w:rsidR="007767F6" w:rsidRDefault="007767F6" w:rsidP="007B1C23">
      <w:pPr>
        <w:spacing w:after="264"/>
      </w:pPr>
      <w:r>
        <w:continuationSeparator/>
      </w:r>
    </w:p>
    <w:p w14:paraId="16B91D0A" w14:textId="77777777" w:rsidR="007767F6" w:rsidRDefault="007767F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3BF2"/>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D79"/>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767F6"/>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07C2"/>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76AFC"/>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9BB"/>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642C"/>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8E54B3"/>
    <w:rsid w:val="00911955"/>
    <w:rsid w:val="009164F7"/>
    <w:rsid w:val="00995BF5"/>
    <w:rsid w:val="009A4E23"/>
    <w:rsid w:val="00B171A0"/>
    <w:rsid w:val="00B35F24"/>
    <w:rsid w:val="00BE2B0A"/>
    <w:rsid w:val="00CA64A5"/>
    <w:rsid w:val="00D46CF3"/>
    <w:rsid w:val="00D51878"/>
    <w:rsid w:val="00D54225"/>
    <w:rsid w:val="00D72243"/>
    <w:rsid w:val="00DC25DD"/>
    <w:rsid w:val="00E50A8E"/>
    <w:rsid w:val="00ED6247"/>
    <w:rsid w:val="00EE1448"/>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lt;p&gt;&lt;span style=\&quot;color: rgb(230, 0, 0);\&quot;&gt;If Client has not signed a Fee Agreement specifically authorizing us to conduct the LADD or represent them in litigation, then QUIT this Questionnaire without saving, and see MBK.&lt;/span&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HOA Litigation - New Matter - MBK091922&quot;,&quot;id&quot;:&quot;ladd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143</Pages>
  <Words>41349</Words>
  <Characters>235691</Characters>
  <Application>Microsoft Office Word</Application>
  <DocSecurity>0</DocSecurity>
  <Lines>1964</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265</cp:revision>
  <cp:lastPrinted>2019-02-13T22:26:00Z</cp:lastPrinted>
  <dcterms:created xsi:type="dcterms:W3CDTF">2020-06-05T18:10:00Z</dcterms:created>
  <dcterms:modified xsi:type="dcterms:W3CDTF">2022-10-24T19:20:00Z</dcterms:modified>
</cp:coreProperties>
</file>