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451E" w:rsidP="005C2B5C">
      <w:pPr>
        <w:spacing w:after="264"/>
        <w:jc w:val="center"/>
        <w:rPr>
          <w:rFonts w:cs="Times New Roman"/>
          <w:b/>
          <w:bCs/>
          <w:sz w:val="44"/>
          <w:szCs w:val="44"/>
        </w:rPr>
      </w:pPr>
      <w:r>
        <w:rPr>
          <w:rFonts w:cs="Times New Roman"/>
          <w:b/>
          <w:bCs/>
          <w:sz w:val="44"/>
          <w:szCs w:val="44"/>
        </w:rPr>
        <w:t>Kiefer v. Destinations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451E" w:rsidP="00E31A1C">
      <w:pPr>
        <w:spacing w:afterLines="0" w:after="0"/>
        <w:jc w:val="center"/>
        <w:rPr>
          <w:rFonts w:cs="Times New Roman"/>
          <w:sz w:val="28"/>
          <w:szCs w:val="28"/>
        </w:rPr>
      </w:pPr>
      <w:r>
        <w:rPr>
          <w:rFonts w:cs="Times New Roman"/>
          <w:sz w:val="28"/>
          <w:szCs w:val="28"/>
        </w:rPr>
        <w:t>SE</w:t>
      </w:r>
    </w:p>
    <w:p w14:paraId="1B4DFB73" w14:textId="5904D99F"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D4451E">
        <w:rPr>
          <w:rFonts w:cs="Times New Roman"/>
          <w:noProof/>
          <w:szCs w:val="24"/>
        </w:rPr>
        <w:t>June 8, 2023</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451E" w:rsidP="00ED2D7D">
      <w:pPr>
        <w:spacing w:after="264"/>
        <w:rPr>
          <w:rFonts w:cs="Times New Roman"/>
          <w:szCs w:val="24"/>
        </w:rPr>
      </w:pPr>
      <w:r>
        <w:rPr>
          <w:rFonts w:cs="Times New Roman"/>
          <w:szCs w:val="24"/>
        </w:rPr>
        <w:t>
          Clients have owned the real property located at 422 Chagall Lane, Stockton, CA 95209 (the "Property") since 2020. Shortly after they purchased the Property, Clients submitted a request to the HOA for the construction of a walkway to allow Mr. Kiefer to use his wheelchair there. Clients contend that the HOA approved their application for the walkway. The HOA came back and claimed that they had no approval on file. Clients submitted another application after-the-fact and the HOA denied it. The HOA has sent them multiple hearing notices and when Mr. Kiefer attended the hearing, things got heated and they removed him from the Zoom meeting. Clients retained counsel because they just want the HOA to confirm approval of the walkway so that Clients can move on.
          <w:br/>
          <w:br/>
          Client has potential claims for:
          <w:br/>
          <w:br/>
          (i) the HOA’s breach of its governing documents
          <w:br/>
          (ii) the board’s breach of its fiduciary duty
          <w:br/>
          (iii) breach of the covenant of good faith and fair dealing
          <w:br/>
          (iv) negligence
          <w:br/>
          (v) nuisance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4451E" w:rsidP="0054507B">
            <w:pPr>
              <w:spacing w:afterLines="0" w:after="0"/>
              <w:rPr>
                <w:rFonts w:cs="Times New Roman"/>
                <w:sz w:val="20"/>
                <w:szCs w:val="20"/>
              </w:rPr>
            </w:pPr>
            <w:r>
              <w:rPr>
                <w:rFonts w:cs="Times New Roman"/>
                <w:sz w:val="20"/>
                <w:szCs w:val="20"/>
              </w:rPr>
              <w:t>William and Julie Kiefer</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4451E" w:rsidP="0054507B">
            <w:pPr>
              <w:spacing w:afterLines="0" w:after="0"/>
              <w:rPr>
                <w:rFonts w:cs="Times New Roman"/>
                <w:sz w:val="20"/>
                <w:szCs w:val="20"/>
              </w:rPr>
            </w:pPr>
            <w:r>
              <w:rPr>
                <w:rFonts w:cs="Times New Roman"/>
                <w:sz w:val="20"/>
                <w:szCs w:val="20"/>
              </w:rPr>
              <w:t>Destinations Community Association, Inc. ("HOA")</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4451E"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Client indicated that the HOA sent him a written approval for the walkway. We want that letter.</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451E"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bookmarkStart w:id="27" w:name="_Hlk42081736"/>
    <w:p w14:paraId="1144132A" w14:textId="77777777" w:rsidR="003F0E15" w:rsidRDefault="00B07EA3" w:rsidP="00E13C80">
      <w:pPr>
        <w:pStyle w:val="Heading2"/>
        <w:spacing w:after="264"/>
      </w:pPr>
      <w:r w:rsidRPr="004647C7">
        <w:fldChar w:fldCharType="begin"/>
      </w:r>
      <w:r w:rsidRPr="004647C7">
        <w:instrText xml:space="preserve"> LISTNUM LegalDefault \l 2 </w:instrText>
      </w:r>
      <w:r w:rsidRPr="004647C7">
        <w:fldChar w:fldCharType="end"/>
      </w:r>
      <w:r w:rsidR="00146EC3">
        <w:br/>
      </w:r>
      <w:r>
        <w:t>Breach of Covenant of Good Faith and Fair Dealing</w:t>
      </w:r>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r>
        <w:rPr>
          <w:rFonts w:cs="Times New Roman"/>
          <w:szCs w:val="24"/>
        </w:rPr>
        <w:t>Breach of Covenant of Good Faith and Fair Dealing</w:t>
      </w:r>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i/>
          <w:iCs/>
          <w:szCs w:val="24"/>
          <w:highlight w:val="green"/>
        </w:rPr>
        <w:t>breach of covenant of good faith and fair dealing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r>
        <w:rPr>
          <w:rFonts w:cs="Times New Roman"/>
          <w:bCs/>
          <w:szCs w:val="24"/>
        </w:rPr>
        <w:t>Chapter 18, Section 18.2(e)</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451E"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351E" w14:textId="77777777" w:rsidR="0095339D" w:rsidRDefault="0095339D" w:rsidP="00123934">
      <w:pPr>
        <w:spacing w:after="264"/>
      </w:pPr>
      <w:r>
        <w:separator/>
      </w:r>
    </w:p>
  </w:endnote>
  <w:endnote w:type="continuationSeparator" w:id="0">
    <w:p w14:paraId="07ACD130" w14:textId="77777777" w:rsidR="0095339D" w:rsidRDefault="0095339D"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451E" w:rsidP="00BA614F">
          <w:pPr>
            <w:pStyle w:val="Footer"/>
            <w:spacing w:after="264"/>
            <w:jc w:val="right"/>
            <w:rPr>
              <w:rFonts w:cs="Times New Roman"/>
              <w:sz w:val="18"/>
              <w:szCs w:val="18"/>
            </w:rPr>
          </w:pPr>
          <w:r>
            <w:rPr>
              <w:rFonts w:cs="Times New Roman"/>
              <w:sz w:val="18"/>
              <w:szCs w:val="18"/>
            </w:rPr>
            <w:t>Kiefer v. Destinations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6FEC" w14:textId="77777777" w:rsidR="0095339D" w:rsidRDefault="0095339D" w:rsidP="00123934">
      <w:pPr>
        <w:spacing w:after="264"/>
      </w:pPr>
      <w:r>
        <w:separator/>
      </w:r>
    </w:p>
  </w:footnote>
  <w:footnote w:type="continuationSeparator" w:id="0">
    <w:p w14:paraId="771B330E" w14:textId="77777777" w:rsidR="0095339D" w:rsidRDefault="0095339D"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2"/>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451E"/>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7200A"/>
    <w:rsid w:val="0017389C"/>
    <w:rsid w:val="001A0300"/>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72F45"/>
    <w:rsid w:val="007D0D72"/>
    <w:rsid w:val="007F7FF8"/>
    <w:rsid w:val="00852D0C"/>
    <w:rsid w:val="008B6DCE"/>
    <w:rsid w:val="008C035E"/>
    <w:rsid w:val="008C1D89"/>
    <w:rsid w:val="00905FE5"/>
    <w:rsid w:val="00911FB6"/>
    <w:rsid w:val="00923528"/>
    <w:rsid w:val="009C044F"/>
    <w:rsid w:val="009D533E"/>
    <w:rsid w:val="00A01A7F"/>
    <w:rsid w:val="00A02068"/>
    <w:rsid w:val="00A03743"/>
    <w:rsid w:val="00A244E0"/>
    <w:rsid w:val="00A82CFF"/>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E2B"/>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20</Pages>
  <Words>28376</Words>
  <Characters>161745</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191</cp:revision>
  <cp:lastPrinted>2020-05-21T21:26:00Z</cp:lastPrinted>
  <dcterms:created xsi:type="dcterms:W3CDTF">2020-06-05T16:34:00Z</dcterms:created>
  <dcterms:modified xsi:type="dcterms:W3CDTF">2023-03-14T13:35:00Z</dcterms:modified>
</cp:coreProperties>
</file>