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Jung v. Tahitian Gardens</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EMS</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r>
              <w:rPr>
                <w:rFonts w:cs="Times New Roman"/>
                <w:sz w:val="20"/>
                <w:szCs w:val="20"/>
              </w:rPr>
              <w:t>Brenda Jung</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r>
              <w:rPr>
                <w:rFonts w:cs="Times New Roman"/>
                <w:sz w:val="20"/>
                <w:szCs w:val="20"/>
              </w:rPr>
              <w:t>Barbara Leighton ("Leighton")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r>
              <w:rPr>
                <w:rFonts w:cs="Times New Roman"/>
                <w:sz w:val="20"/>
                <w:szCs w:val="20"/>
              </w:rPr>
              <w:t>sister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r>
              <w:rPr>
                <w:rFonts w:cs="Times New Roman"/>
                <w:sz w:val="20"/>
                <w:szCs w:val="20"/>
              </w:rPr>
              <w:t>Tahitian Gardens Condominium Association, Inc. ("COA")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 § ******</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 § ******</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 § ******</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 [RETRIEVE CC&amp;RS AND BYLAWS]</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Jung v. Tahitian Gardens</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