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Vincent v. Fairway Pines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EMS</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r>
              <w:rPr>
                <w:rFonts w:cs="Times New Roman"/>
                <w:sz w:val="20"/>
                <w:szCs w:val="20"/>
              </w:rPr>
              <w:t>Lee Vincent</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r>
              <w:rPr>
                <w:rFonts w:cs="Times New Roman"/>
                <w:sz w:val="20"/>
                <w:szCs w:val="20"/>
              </w:rPr>
              <w:t>Stephen Butler</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r>
              <w:rPr>
                <w:rFonts w:cs="Times New Roman"/>
                <w:sz w:val="20"/>
                <w:szCs w:val="20"/>
              </w:rPr>
              <w:t>Co-Plaintiff</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r>
              <w:rPr>
                <w:rFonts w:cs="Times New Roman"/>
                <w:sz w:val="20"/>
                <w:szCs w:val="20"/>
              </w:rPr>
              <w:t>Fairway Pines Condominium Association, Inc.</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 § 718.113(1)</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 § 718.113(1)</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 § 718.113(1)</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Vincent v. Fairway Pines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