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93449" w:rsidP="00FD77B5">
      <w:pPr>
        <w:spacing w:afterLines="0" w:after="0"/>
        <w:jc w:val="center"/>
        <w:rPr>
          <w:rFonts w:cs="Times New Roman"/>
          <w:color w:val="000099"/>
          <w:sz w:val="52"/>
          <w:szCs w:val="52"/>
        </w:rPr>
      </w:pPr>
      <w:r>
        <w:rPr>
          <w:rFonts w:cs="Times New Roman"/>
          <w:color w:val="000099"/>
          <w:sz w:val="52"/>
          <w:szCs w:val="52"/>
        </w:rPr>
        <w:t>White v. Lane, et al.</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93449" w:rsidP="00D66223">
      <w:pPr>
        <w:spacing w:afterLines="0" w:after="0"/>
        <w:jc w:val="center"/>
        <w:rPr>
          <w:rFonts w:cs="Times New Roman"/>
          <w:bCs/>
          <w:color w:val="000099"/>
          <w:sz w:val="28"/>
          <w:szCs w:val="28"/>
        </w:rPr>
      </w:pPr>
      <w:r>
        <w:rPr>
          <w:rFonts w:cs="Times New Roman"/>
          <w:bCs/>
          <w:color w:val="000099"/>
          <w:sz w:val="28"/>
          <w:szCs w:val="28"/>
        </w:rPr>
        <w:t>MBK</w:t>
      </w:r>
    </w:p>
    <w:p w14:paraId="56F0E1E5" w14:textId="5095F5C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04F40">
        <w:rPr>
          <w:rFonts w:cs="Times New Roman"/>
          <w:bCs/>
          <w:noProof/>
          <w:color w:val="000099"/>
          <w:sz w:val="26"/>
          <w:szCs w:val="26"/>
        </w:rPr>
        <w:t>October 14,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593449">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593449">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593449">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593449">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593449">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593449">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593449">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593449">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593449">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593449">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593449">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593449">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593449">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593449">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593449">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593449">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593449">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593449">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593449">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593449">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593449">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593449">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593449">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593449">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593449">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593449">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593449">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593449">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593449">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593449">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593449">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593449">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593449">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593449">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593449">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593449">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593449">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593449">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593449">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593449">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593449">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593449">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593449">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593449">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593449">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593449">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593449">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593449">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593449">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593449">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593449">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593449">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593449">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593449">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593449">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593449">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Violation of Statute [Civ. Code section 4444]</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593449">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593449">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593449">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593449">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593449">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593449">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593449">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593449">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593449">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593449">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593449">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593449">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593449">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593449">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593449">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593449">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593449">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593449">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593449">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593449">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593449">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593449">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593449">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593449">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593449">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593449">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593449">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593449">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593449">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593449">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593449">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593449">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593449">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593449">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593449">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593449">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593449">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593449">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593449">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593449">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593449">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593449">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593449">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593449">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593449">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593449">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593449">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593449">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593449">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593449">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593449">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593449" w:rsidP="00FB173A">
      <w:pPr>
        <w:pStyle w:val="NormalEnd"/>
      </w:pPr>
      <w:r>
        <w:t>Eget felis eget nunc lobortis. A iaculis at erat pellentesque adipiscing commodo elit. Nisl suscipit adipiscing bibendum est ultricies integer quis. Consectetur purus ut faucibus pulvinar. Velit egestas dui id ornare arcu odio. Tellus in hac habitasse platea. Pharetra diam sit amet nisl suscipit adipiscing. Velit aliquet sagittis id consectetur purus. Aliquam purus sit amet luctus. Ac feugiat sed lectus vestibulum. Nibh sed pulvinar proin gravida hendrerit lectus.</w:t>
      </w:r>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593449" w:rsidP="00B83DD4">
            <w:pPr>
              <w:spacing w:afterLines="0" w:after="0"/>
              <w:rPr>
                <w:rFonts w:ascii="Times New Roman" w:hAnsi="Times New Roman" w:cs="Times New Roman"/>
                <w:sz w:val="20"/>
                <w:szCs w:val="20"/>
              </w:rPr>
            </w:pPr>
            <w:r>
              <w:rPr>
                <w:rFonts w:cs="Times New Roman"/>
                <w:sz w:val="20"/>
                <w:szCs w:val="20"/>
              </w:rPr>
              <w:t>Perry White</w:t>
            </w:r>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593449" w:rsidP="00B83DD4">
            <w:pPr>
              <w:spacing w:afterLines="0" w:after="0"/>
              <w:rPr>
                <w:rFonts w:ascii="Times New Roman" w:hAnsi="Times New Roman" w:cs="Times New Roman"/>
                <w:sz w:val="20"/>
                <w:szCs w:val="20"/>
              </w:rPr>
            </w:pPr>
            <w:r>
              <w:rPr>
                <w:rFonts w:cs="Times New Roman"/>
                <w:sz w:val="20"/>
                <w:szCs w:val="20"/>
              </w:rPr>
              <w:t>Lois Lane ("Lane")</w:t>
            </w:r>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593449" w:rsidP="00B83DD4">
            <w:pPr>
              <w:spacing w:afterLines="0" w:after="0"/>
              <w:rPr>
                <w:rFonts w:ascii="Times New Roman" w:hAnsi="Times New Roman" w:cs="Times New Roman"/>
                <w:sz w:val="20"/>
                <w:szCs w:val="20"/>
              </w:rPr>
            </w:pPr>
            <w:r>
              <w:rPr>
                <w:rFonts w:cs="Times New Roman"/>
                <w:sz w:val="20"/>
                <w:szCs w:val="20"/>
              </w:rPr>
              <w:t>Infringing party</w:t>
            </w:r>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0F3F821D" w14:textId="77777777" w:rsidR="001832D6" w:rsidRDefault="001832D6" w:rsidP="001832D6">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53565477"/>
      <w:r w:rsidRPr="00020852">
        <w:fldChar w:fldCharType="end"/>
      </w:r>
      <w:r w:rsidR="00317286">
        <w:br/>
      </w:r>
      <w:r w:rsidR="00C75C1D" w:rsidRPr="00020852">
        <w:t>ADDITIONAL DOCUMENTS NEEDED FROM CLIENT</w:t>
      </w:r>
      <w:bookmarkEnd w:id="12"/>
      <w:r w:rsidRPr="00020852">
        <w:t xml:space="preserve"> </w:t>
      </w:r>
    </w:p>
    <w:p w14:paraId="582F9D97" w14:textId="77777777" w:rsidR="00D953FC" w:rsidRDefault="00D953FC" w:rsidP="00D953FC">
      <w:pPr>
        <w:spacing w:after="264"/>
        <w:rPr>
          <w:rFonts w:cs="Times New Roman"/>
          <w:szCs w:val="24"/>
        </w:rPr>
      </w:pPr>
      <w:r>
        <w:rPr>
          <w:rFonts w:cs="Times New Roman"/>
          <w:szCs w:val="24"/>
        </w:rPr>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r>
        <w:rPr>
          <w:rFonts w:cs="Times New Roman"/>
          <w:szCs w:val="24"/>
        </w:rPr>
        <w:t>Habitasse platea dictumst vestibulum rhoncus est. Quis risus sed vulputate odio ut. Iaculis urna id volutpat lacus laoreet non curabitur gravida arcu.</w:t>
      </w:r>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r>
        <w:rPr>
          <w:rFonts w:cs="Times New Roman"/>
          <w:szCs w:val="24"/>
        </w:rPr>
        <w:t>In ante metus dictum at tempor commodo ullamcorper a. Eget duis at tellus at urna condimentum mattis pellentesque.</w:t>
      </w:r>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t>This section of the LADD may be amended from time to time if Client locates additional documents.</w:t>
      </w:r>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53565478"/>
      <w:r w:rsidRPr="00020852">
        <w:fldChar w:fldCharType="end"/>
      </w:r>
      <w:r w:rsidR="00317286">
        <w:br/>
      </w:r>
      <w:r w:rsidR="00C75C1D" w:rsidRPr="00020852">
        <w:t>THIRD-PARTY DOCUMENTS/INFORMATION KNOWN TO EXIST</w:t>
      </w:r>
      <w:bookmarkEnd w:id="13"/>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37D806BE" w14:textId="3D419EE1" w:rsidR="00201376" w:rsidRPr="00020852" w:rsidRDefault="00201376" w:rsidP="00201376">
      <w:pPr>
        <w:pStyle w:val="Line"/>
      </w:pPr>
      <w:bookmarkStart w:id="14" w:name="_Hlk43359355"/>
      <w:r w:rsidRPr="00E9159A">
        <w:t>________________________________</w:t>
      </w:r>
      <w:bookmarkEnd w:id="14"/>
    </w:p>
    <w:bookmarkStart w:id="15" w:name="_Toc53565479"/>
    <w:p w14:paraId="3B7BC07F" w14:textId="0C0361A8"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15"/>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0" w:name="_Toc53565482"/>
      <w:r w:rsidRPr="00020852">
        <w:fldChar w:fldCharType="end"/>
      </w:r>
      <w:r w:rsidR="007214CC">
        <w:br/>
      </w:r>
      <w:r w:rsidRPr="00020852">
        <w:t>Negligence</w:t>
      </w:r>
      <w:bookmarkEnd w:id="20"/>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8" w:name="_Toc53565491"/>
      <w:r w:rsidRPr="00020852">
        <w:fldChar w:fldCharType="end"/>
      </w:r>
      <w:r w:rsidR="006133C8">
        <w:br/>
      </w:r>
      <w:r w:rsidRPr="00020852">
        <w:t>Declaratory Relief</w:t>
      </w:r>
      <w:bookmarkEnd w:id="3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9" w:name="_Toc53565527"/>
      <w:r w:rsidRPr="00020852">
        <w:fldChar w:fldCharType="end"/>
      </w:r>
      <w:r>
        <w:br/>
      </w:r>
      <w:r w:rsidR="00727240" w:rsidRPr="00727240">
        <w:t>Medical Malpractice</w:t>
      </w:r>
      <w:bookmarkEnd w:id="89"/>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0"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0"/>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3" w:name="_Toc53565529"/>
      <w:r w:rsidRPr="00020852">
        <w:fldChar w:fldCharType="end"/>
      </w:r>
      <w:r w:rsidR="000B75CA">
        <w:br/>
      </w:r>
      <w:r>
        <w:t>Violation of Statute [Civ. Code section 4444]</w:t>
      </w:r>
      <w:bookmarkEnd w:id="93"/>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szCs w:val="24"/>
        </w:rPr>
        <w:t>Violation of Statute [Civ. Code section 4444]</w:t>
      </w:r>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Pr>
          <w:rFonts w:cs="Times New Roman"/>
          <w:i/>
          <w:iCs/>
          <w:szCs w:val="24"/>
          <w:highlight w:val="green"/>
        </w:rPr>
        <w:t>violation of statute [civ. code section 4444]</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C42DA1">
      <w:pPr>
        <w:pStyle w:val="Line"/>
      </w:pPr>
      <w:bookmarkStart w:id="94" w:name="_Hlk43361216"/>
      <w:r w:rsidRPr="00E9159A">
        <w:t>________________________________</w:t>
      </w:r>
      <w:bookmarkEnd w:id="94"/>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95" w:name="_Toc53565570"/>
      <w:r w:rsidRPr="00020852">
        <w:fldChar w:fldCharType="end"/>
      </w:r>
      <w:r w:rsidR="002970B7">
        <w:br/>
      </w:r>
      <w:r w:rsidR="00B77716" w:rsidRPr="00020852">
        <w:t>STRATEGIC CONSIDERATIONS</w:t>
      </w:r>
      <w:bookmarkEnd w:id="95"/>
      <w:r w:rsidR="00D90AC3" w:rsidRPr="00020852">
        <w:t xml:space="preserve"> </w:t>
      </w:r>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97" w:name="_Toc53565572"/>
      <w:r w:rsidRPr="00020852">
        <w:fldChar w:fldCharType="end"/>
      </w:r>
      <w:r w:rsidR="002970B7">
        <w:br/>
      </w:r>
      <w:r w:rsidR="00184ADF" w:rsidRPr="00020852">
        <w:t>Jurisdiction</w:t>
      </w:r>
      <w:bookmarkEnd w:id="97"/>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98" w:name="_Toc53565573"/>
      <w:r w:rsidRPr="00020852">
        <w:fldChar w:fldCharType="end"/>
      </w:r>
      <w:r w:rsidR="002970B7">
        <w:br/>
      </w:r>
      <w:r w:rsidR="00C53B37" w:rsidRPr="00020852">
        <w:t>Arbitration</w:t>
      </w:r>
      <w:bookmarkEnd w:id="98"/>
    </w:p>
    <w:p w14:paraId="20BF6A57" w14:textId="79116115" w:rsidR="00B117E3" w:rsidRPr="00B117E3" w:rsidRDefault="00B117E3" w:rsidP="00B117E3">
      <w:pPr>
        <w:spacing w:after="264"/>
        <w:rPr>
          <w:rFonts w:cs="Times New Roman"/>
          <w:bCs/>
          <w:szCs w:val="24"/>
        </w:rPr>
      </w:pPr>
      <w:r>
        <w:rPr>
          <w:rFonts w:cs="Times New Roman"/>
          <w:bCs/>
          <w:szCs w:val="24"/>
        </w:rPr>
        <w:lastRenderedPageBreak/>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99" w:name="_Toc53565574"/>
      <w:r w:rsidRPr="00020852">
        <w:fldChar w:fldCharType="end"/>
      </w:r>
      <w:r w:rsidR="002970B7">
        <w:br/>
      </w:r>
      <w:r w:rsidRPr="00020852">
        <w:t>Personal Jurisdiction</w:t>
      </w:r>
      <w:bookmarkEnd w:id="99"/>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r>
        <w:rPr>
          <w:rFonts w:cs="Times New Roman"/>
          <w:szCs w:val="24"/>
        </w:rPr>
        <w:t>Orange</w:t>
      </w:r>
      <w:r>
        <w:rPr>
          <w:rFonts w:cs="Times New Roman"/>
          <w:bCs/>
          <w:szCs w:val="24"/>
        </w:rPr>
        <w:t xml:space="preserve"> County may exercise personal jurisdiction over the parties. </w:t>
      </w:r>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00" w:name="_Toc53565575"/>
      <w:r w:rsidRPr="00020852">
        <w:fldChar w:fldCharType="end"/>
      </w:r>
      <w:r w:rsidR="002970B7">
        <w:br/>
      </w:r>
      <w:r w:rsidRPr="00020852">
        <w:t>Subject Matter Jurisdiction</w:t>
      </w:r>
      <w:bookmarkEnd w:id="100"/>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01" w:name="_Toc53565576"/>
      <w:r w:rsidRPr="00020852">
        <w:fldChar w:fldCharType="end"/>
      </w:r>
      <w:r>
        <w:br/>
        <w:t>Standing</w:t>
      </w:r>
      <w:bookmarkEnd w:id="101"/>
    </w:p>
    <w:bookmarkStart w:id="102" w:name="_Hlk43294614"/>
    <w:bookmarkStart w:id="103" w:name="_Hlk43294771"/>
    <w:p w14:paraId="1DC5A2AF" w14:textId="77777777" w:rsidR="0087609C" w:rsidRDefault="0087609C" w:rsidP="0087609C">
      <w:pPr>
        <w:spacing w:after="264"/>
      </w:pPr>
      <w:bookmarkStart w:id="104" w:name="_Hlk43294815"/>
      <w:r>
        <w:t>Based upon the information/evidence that Client has provided thus far, Client has standing to pursue every cause of action described above against each of the intended defendants (excluding DOES, of course).</w:t>
      </w:r>
      <w:bookmarkEnd w:id="104"/>
      <w:r>
        <w:t xml:space="preserve"> </w:t>
      </w:r>
    </w:p>
    <w:bookmarkStart w:id="105" w:name="_Hlk43278950"/>
    <w:bookmarkStart w:id="106" w:name="_Hlk43294876"/>
    <w:bookmarkEnd w:id="105"/>
    <w:bookmarkEnd w:id="102"/>
    <w:p w14:paraId="6671144C" w14:textId="77777777" w:rsidR="00745226" w:rsidRDefault="00D44EB8" w:rsidP="00EA2883">
      <w:pPr>
        <w:pStyle w:val="Heading2"/>
      </w:pPr>
      <w:r w:rsidRPr="00020852">
        <w:fldChar w:fldCharType="begin"/>
      </w:r>
      <w:r w:rsidRPr="00020852">
        <w:instrText xml:space="preserve"> LISTNUM LegalDefault \l 2 </w:instrText>
      </w:r>
      <w:bookmarkStart w:id="107" w:name="_Toc53565577"/>
      <w:r w:rsidRPr="00020852">
        <w:fldChar w:fldCharType="end"/>
      </w:r>
      <w:r w:rsidR="002970B7">
        <w:br/>
      </w:r>
      <w:r w:rsidRPr="00020852">
        <w:t>Anti-SLAPP Analysis</w:t>
      </w:r>
      <w:bookmarkEnd w:id="107"/>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w:t>
      </w:r>
      <w:r w:rsidRPr="0085153D">
        <w:rPr>
          <w:rFonts w:cs="Times New Roman"/>
        </w:rPr>
        <w:lastRenderedPageBreak/>
        <w:t>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 xml:space="preserve">The courts use a two-prong test to determine if a claim is protected under the anti-SLAPP statute. First, the defendant must prove that the at-issue claim arises from a constitutionally protected activity. </w:t>
      </w:r>
      <w:r w:rsidRPr="000F1829">
        <w:rPr>
          <w:rFonts w:cs="Times New Roman"/>
        </w:rPr>
        <w:t>(</w:t>
      </w:r>
      <w:r w:rsidRPr="000F1829">
        <w:rPr>
          <w:rFonts w:cs="Times New Roman"/>
          <w:i/>
          <w:iCs/>
        </w:rPr>
        <w:t>Ruiz v. Harbor View Community Assn., supra,</w:t>
      </w:r>
      <w:r w:rsidRPr="000F1829">
        <w:rPr>
          <w:rFonts w:cs="Times New Roman"/>
        </w:rPr>
        <w:t xml:space="preserve"> 134 Cal.App.4th at 1466; Code Civ. Proc., § 425.16(b)(1).) If the defendant satisfies his or her burden, the burden shifts to the plaintiff to show that there is a probability that he or she will prevail on the merits of the at-issue claim. (</w:t>
      </w:r>
      <w:r w:rsidRPr="000F1829">
        <w:rPr>
          <w:rFonts w:cs="Times New Roman"/>
          <w:i/>
          <w:iCs/>
        </w:rPr>
        <w:t>Ibid</w:t>
      </w:r>
      <w:r w:rsidRPr="000F1829">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lastRenderedPageBreak/>
        <w:t>—  Based upon the applicable facts and claims, an anti-SLAPP motion is unlikely because none of the conduct complained of arises from constitutionally protected activities.</w:t>
      </w:r>
    </w:p>
    <w:p w14:paraId="1A3BD56A" w14:textId="77777777" w:rsidR="00FB2AA2" w:rsidRPr="00E610A9" w:rsidRDefault="00FB2AA2" w:rsidP="00FB2AA2">
      <w:pPr>
        <w:pStyle w:val="Heading2"/>
      </w:pPr>
      <w:r w:rsidRPr="00E610A9">
        <w:lastRenderedPageBreak/>
        <w:fldChar w:fldCharType="begin"/>
      </w:r>
      <w:r w:rsidRPr="00E610A9">
        <w:instrText xml:space="preserve"> LISTNUM LegalDefault \l 2 </w:instrText>
      </w:r>
      <w:bookmarkStart w:id="121" w:name="_Toc53565578"/>
      <w:r w:rsidRPr="00E610A9">
        <w:fldChar w:fldCharType="end"/>
      </w:r>
      <w:r w:rsidRPr="00E610A9">
        <w:br/>
        <w:t>Pre-Filing Requirements</w:t>
      </w:r>
      <w:bookmarkEnd w:id="121"/>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r>
        <w:rPr>
          <w:rFonts w:cs="Times New Roman"/>
          <w:szCs w:val="24"/>
        </w:rPr>
        <w:t>September 18, 2022</w:t>
      </w:r>
      <w:r w:rsidR="00381429" w:rsidRPr="00E610A9">
        <w:t>.</w:t>
      </w:r>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23" w:name="_Toc53565579"/>
      <w:r w:rsidRPr="00BD4FF6">
        <w:fldChar w:fldCharType="end"/>
      </w:r>
      <w:r w:rsidRPr="00BD4FF6">
        <w:br/>
        <w:t>Attorneys’ Fees and Costs</w:t>
      </w:r>
      <w:bookmarkEnd w:id="123"/>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r>
        <w:rPr>
          <w:rFonts w:cs="Times New Roman"/>
          <w:szCs w:val="24"/>
        </w:rPr>
        <w:t>Civ. Code section 4444</w:t>
      </w:r>
      <w:r w:rsidRPr="00D87E71">
        <w:t>.</w:t>
      </w:r>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26"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26"/>
    </w:p>
    <w:p w14:paraId="2E80E0BC" w14:textId="77777777" w:rsidR="00CF0FC9" w:rsidRDefault="00593449" w:rsidP="00CF0FC9">
      <w:pPr>
        <w:spacing w:after="264"/>
      </w:pPr>
      <w:r>
        <w:rPr>
          <w:color w:val="000000" w:themeColor="text1"/>
        </w:rPr>
        <w:t>None at this time.</w:t>
      </w:r>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F3E2" w14:textId="77777777" w:rsidR="00FF26EE" w:rsidRDefault="00FF26EE" w:rsidP="007B1C23">
      <w:pPr>
        <w:spacing w:after="264"/>
      </w:pPr>
      <w:r>
        <w:separator/>
      </w:r>
    </w:p>
    <w:p w14:paraId="0D76F162" w14:textId="77777777" w:rsidR="00FF26EE" w:rsidRDefault="00FF26EE">
      <w:pPr>
        <w:spacing w:after="264"/>
      </w:pPr>
    </w:p>
  </w:endnote>
  <w:endnote w:type="continuationSeparator" w:id="0">
    <w:p w14:paraId="3580C6E3" w14:textId="77777777" w:rsidR="00FF26EE" w:rsidRDefault="00FF26EE" w:rsidP="007B1C23">
      <w:pPr>
        <w:spacing w:after="264"/>
      </w:pPr>
      <w:r>
        <w:continuationSeparator/>
      </w:r>
    </w:p>
    <w:p w14:paraId="285AC99C" w14:textId="77777777" w:rsidR="00FF26EE" w:rsidRDefault="00FF26EE">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593449"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White v. Lane, et al.</w:t>
          </w:r>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F1FD" w14:textId="77777777" w:rsidR="00FF26EE" w:rsidRDefault="00FF26EE" w:rsidP="007B1C23">
      <w:pPr>
        <w:spacing w:after="264"/>
      </w:pPr>
      <w:r>
        <w:separator/>
      </w:r>
    </w:p>
    <w:p w14:paraId="5D6E53F8" w14:textId="77777777" w:rsidR="00FF26EE" w:rsidRDefault="00FF26EE">
      <w:pPr>
        <w:spacing w:after="264"/>
      </w:pPr>
    </w:p>
  </w:footnote>
  <w:footnote w:type="continuationSeparator" w:id="0">
    <w:p w14:paraId="28237CED" w14:textId="77777777" w:rsidR="00FF26EE" w:rsidRDefault="00FF26EE" w:rsidP="007B1C23">
      <w:pPr>
        <w:spacing w:after="264"/>
      </w:pPr>
      <w:r>
        <w:continuationSeparator/>
      </w:r>
    </w:p>
    <w:p w14:paraId="747C4811" w14:textId="77777777" w:rsidR="00FF26EE" w:rsidRDefault="00FF26EE">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1829"/>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32D6"/>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24DC"/>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221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449"/>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B9C"/>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3913"/>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68AD"/>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671"/>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4F40"/>
    <w:rsid w:val="00F06780"/>
    <w:rsid w:val="00F07BCE"/>
    <w:rsid w:val="00F11E60"/>
    <w:rsid w:val="00F12EC6"/>
    <w:rsid w:val="00F14296"/>
    <w:rsid w:val="00F14E1D"/>
    <w:rsid w:val="00F16FB4"/>
    <w:rsid w:val="00F235F1"/>
    <w:rsid w:val="00F307EC"/>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470B"/>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A611F3DAF4BA4B6E90298C62FB47BB45"/>
        <w:category>
          <w:name w:val="General"/>
          <w:gallery w:val="placeholder"/>
        </w:category>
        <w:types>
          <w:type w:val="bbPlcHdr"/>
        </w:types>
        <w:behaviors>
          <w:behavior w:val="content"/>
        </w:behaviors>
        <w:guid w:val="{894E51A4-CCEF-4A03-9B56-4B2A97163BBE}"/>
      </w:docPartPr>
      <w:docPartBody>
        <w:p w:rsidR="00000000" w:rsidRDefault="002C11D5" w:rsidP="002C11D5">
          <w:pPr>
            <w:pStyle w:val="A611F3DAF4BA4B6E90298C62FB47BB45"/>
          </w:pPr>
          <w:r w:rsidRPr="00404A3B">
            <w:rPr>
              <w:rStyle w:val="PlaceholderText"/>
            </w:rPr>
            <w:t>Click or tap here to enter text.</w:t>
          </w:r>
        </w:p>
      </w:docPartBody>
    </w:docPart>
    <w:docPart>
      <w:docPartPr>
        <w:name w:val="38B65344248142179C384A213E21F964"/>
        <w:category>
          <w:name w:val="General"/>
          <w:gallery w:val="placeholder"/>
        </w:category>
        <w:types>
          <w:type w:val="bbPlcHdr"/>
        </w:types>
        <w:behaviors>
          <w:behavior w:val="content"/>
        </w:behaviors>
        <w:guid w:val="{462D2C6E-C4DE-403D-99B2-1813A385830D}"/>
      </w:docPartPr>
      <w:docPartBody>
        <w:p w:rsidR="00000000" w:rsidRDefault="002C11D5" w:rsidP="002C11D5">
          <w:pPr>
            <w:pStyle w:val="38B65344248142179C384A213E21F964"/>
          </w:pPr>
          <w:r w:rsidRPr="000D4732">
            <w:rPr>
              <w:rStyle w:val="PlaceholderText"/>
            </w:rPr>
            <w:t>Click or tap here to enter text.</w:t>
          </w:r>
        </w:p>
      </w:docPartBody>
    </w:docPart>
    <w:docPart>
      <w:docPartPr>
        <w:name w:val="490A8FD04B6D47F6AF7C9F22BFD6B3E4"/>
        <w:category>
          <w:name w:val="General"/>
          <w:gallery w:val="placeholder"/>
        </w:category>
        <w:types>
          <w:type w:val="bbPlcHdr"/>
        </w:types>
        <w:behaviors>
          <w:behavior w:val="content"/>
        </w:behaviors>
        <w:guid w:val="{F92C6FDF-2449-48D4-8399-82D14F548307}"/>
      </w:docPartPr>
      <w:docPartBody>
        <w:p w:rsidR="00000000" w:rsidRDefault="002C11D5" w:rsidP="002C11D5">
          <w:pPr>
            <w:pStyle w:val="490A8FD04B6D47F6AF7C9F22BFD6B3E4"/>
          </w:pPr>
          <w:r w:rsidRPr="00404A3B">
            <w:rPr>
              <w:rStyle w:val="PlaceholderText"/>
            </w:rPr>
            <w:t>Click or tap here to enter text.</w:t>
          </w:r>
        </w:p>
      </w:docPartBody>
    </w:docPart>
    <w:docPart>
      <w:docPartPr>
        <w:name w:val="99A740BBDE114699B65045A861C2AF16"/>
        <w:category>
          <w:name w:val="General"/>
          <w:gallery w:val="placeholder"/>
        </w:category>
        <w:types>
          <w:type w:val="bbPlcHdr"/>
        </w:types>
        <w:behaviors>
          <w:behavior w:val="content"/>
        </w:behaviors>
        <w:guid w:val="{00527C5D-7F62-4F3F-BFB5-549C291DB9DE}"/>
      </w:docPartPr>
      <w:docPartBody>
        <w:p w:rsidR="00000000" w:rsidRDefault="002C11D5" w:rsidP="002C11D5">
          <w:pPr>
            <w:pStyle w:val="99A740BBDE114699B65045A861C2AF16"/>
          </w:pPr>
          <w:r w:rsidRPr="00F722FF">
            <w:rPr>
              <w:rStyle w:val="PlaceholderText"/>
            </w:rPr>
            <w:t>Click or tap here to enter text.</w:t>
          </w:r>
        </w:p>
      </w:docPartBody>
    </w:docPart>
    <w:docPart>
      <w:docPartPr>
        <w:name w:val="424FC77A613A49EF98D76CFF1629A2DC"/>
        <w:category>
          <w:name w:val="General"/>
          <w:gallery w:val="placeholder"/>
        </w:category>
        <w:types>
          <w:type w:val="bbPlcHdr"/>
        </w:types>
        <w:behaviors>
          <w:behavior w:val="content"/>
        </w:behaviors>
        <w:guid w:val="{F96A27C5-194A-46D4-A64D-E03B276C7E94}"/>
      </w:docPartPr>
      <w:docPartBody>
        <w:p w:rsidR="00000000" w:rsidRDefault="002C11D5" w:rsidP="002C11D5">
          <w:pPr>
            <w:pStyle w:val="424FC77A613A49EF98D76CFF1629A2DC"/>
          </w:pPr>
          <w:r w:rsidRPr="00404A3B">
            <w:rPr>
              <w:rStyle w:val="PlaceholderText"/>
            </w:rPr>
            <w:t>Click or tap here to enter text.</w:t>
          </w:r>
        </w:p>
      </w:docPartBody>
    </w:docPart>
    <w:docPart>
      <w:docPartPr>
        <w:name w:val="2B98E7A1928E42DCA3CE392A74A6555C"/>
        <w:category>
          <w:name w:val="General"/>
          <w:gallery w:val="placeholder"/>
        </w:category>
        <w:types>
          <w:type w:val="bbPlcHdr"/>
        </w:types>
        <w:behaviors>
          <w:behavior w:val="content"/>
        </w:behaviors>
        <w:guid w:val="{3A047F7D-92C1-446B-B750-96ED6D0380B1}"/>
      </w:docPartPr>
      <w:docPartBody>
        <w:p w:rsidR="00000000" w:rsidRDefault="002C11D5" w:rsidP="002C11D5">
          <w:pPr>
            <w:pStyle w:val="2B98E7A1928E42DCA3CE392A74A6555C"/>
          </w:pPr>
          <w:r w:rsidRPr="00F722FF">
            <w:rPr>
              <w:rStyle w:val="PlaceholderText"/>
            </w:rPr>
            <w:t>Click or tap here to enter text.</w:t>
          </w:r>
        </w:p>
      </w:docPartBody>
    </w:docPart>
    <w:docPart>
      <w:docPartPr>
        <w:name w:val="BF345C7CE4EA4B9CB81A511437163DDF"/>
        <w:category>
          <w:name w:val="General"/>
          <w:gallery w:val="placeholder"/>
        </w:category>
        <w:types>
          <w:type w:val="bbPlcHdr"/>
        </w:types>
        <w:behaviors>
          <w:behavior w:val="content"/>
        </w:behaviors>
        <w:guid w:val="{835A97AC-02AB-47AC-8564-E27D0DB9540E}"/>
      </w:docPartPr>
      <w:docPartBody>
        <w:p w:rsidR="00000000" w:rsidRDefault="002C11D5" w:rsidP="002C11D5">
          <w:pPr>
            <w:pStyle w:val="BF345C7CE4EA4B9CB81A511437163DDF"/>
          </w:pPr>
          <w:r w:rsidRPr="00404A3B">
            <w:rPr>
              <w:rStyle w:val="PlaceholderText"/>
            </w:rPr>
            <w:t>Click or tap here to enter text.</w:t>
          </w:r>
        </w:p>
      </w:docPartBody>
    </w:docPart>
    <w:docPart>
      <w:docPartPr>
        <w:name w:val="A9B723B6A83641BB8FDA2193167DE200"/>
        <w:category>
          <w:name w:val="General"/>
          <w:gallery w:val="placeholder"/>
        </w:category>
        <w:types>
          <w:type w:val="bbPlcHdr"/>
        </w:types>
        <w:behaviors>
          <w:behavior w:val="content"/>
        </w:behaviors>
        <w:guid w:val="{BF7FD6DC-222C-4D2D-985A-1C6B50A9BEC1}"/>
      </w:docPartPr>
      <w:docPartBody>
        <w:p w:rsidR="00000000" w:rsidRDefault="002C11D5" w:rsidP="002C11D5">
          <w:pPr>
            <w:pStyle w:val="A9B723B6A83641BB8FDA2193167DE200"/>
          </w:pPr>
          <w:r w:rsidRPr="00F722FF">
            <w:rPr>
              <w:rStyle w:val="PlaceholderText"/>
            </w:rPr>
            <w:t>Click or tap here to enter text.</w:t>
          </w:r>
        </w:p>
      </w:docPartBody>
    </w:docPart>
    <w:docPart>
      <w:docPartPr>
        <w:name w:val="E6C011DE710A452FBE57A3FA14D05DB3"/>
        <w:category>
          <w:name w:val="General"/>
          <w:gallery w:val="placeholder"/>
        </w:category>
        <w:types>
          <w:type w:val="bbPlcHdr"/>
        </w:types>
        <w:behaviors>
          <w:behavior w:val="content"/>
        </w:behaviors>
        <w:guid w:val="{70088BB2-B97F-4C4B-9D00-1A0B0CD5086F}"/>
      </w:docPartPr>
      <w:docPartBody>
        <w:p w:rsidR="00000000" w:rsidRDefault="002C11D5" w:rsidP="002C11D5">
          <w:pPr>
            <w:pStyle w:val="E6C011DE710A452FBE57A3FA14D05DB3"/>
          </w:pPr>
          <w:r w:rsidRPr="00F722FF">
            <w:rPr>
              <w:rStyle w:val="PlaceholderText"/>
            </w:rPr>
            <w:t>Click or tap here to enter text.</w:t>
          </w:r>
        </w:p>
      </w:docPartBody>
    </w:docPart>
    <w:docPart>
      <w:docPartPr>
        <w:name w:val="7D3A9BCB2176450396FE8FB96F53D950"/>
        <w:category>
          <w:name w:val="General"/>
          <w:gallery w:val="placeholder"/>
        </w:category>
        <w:types>
          <w:type w:val="bbPlcHdr"/>
        </w:types>
        <w:behaviors>
          <w:behavior w:val="content"/>
        </w:behaviors>
        <w:guid w:val="{0C45FF76-0871-41EF-98E1-2F4B95527EE3}"/>
      </w:docPartPr>
      <w:docPartBody>
        <w:p w:rsidR="00000000" w:rsidRDefault="002C11D5" w:rsidP="002C11D5">
          <w:pPr>
            <w:pStyle w:val="7D3A9BCB2176450396FE8FB96F53D950"/>
          </w:pPr>
          <w:r w:rsidRPr="00404A3B">
            <w:rPr>
              <w:rStyle w:val="PlaceholderText"/>
            </w:rPr>
            <w:t>Click or tap here to enter text.</w:t>
          </w:r>
        </w:p>
      </w:docPartBody>
    </w:docPart>
    <w:docPart>
      <w:docPartPr>
        <w:name w:val="4663B3221D804F5CB19CC43A8DAEB4E9"/>
        <w:category>
          <w:name w:val="General"/>
          <w:gallery w:val="placeholder"/>
        </w:category>
        <w:types>
          <w:type w:val="bbPlcHdr"/>
        </w:types>
        <w:behaviors>
          <w:behavior w:val="content"/>
        </w:behaviors>
        <w:guid w:val="{14EA5FFD-01FA-4384-8A56-74888199D1FA}"/>
      </w:docPartPr>
      <w:docPartBody>
        <w:p w:rsidR="00000000" w:rsidRDefault="002C11D5" w:rsidP="002C11D5">
          <w:pPr>
            <w:pStyle w:val="4663B3221D804F5CB19CC43A8DAEB4E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3FA2"/>
    <w:rsid w:val="0026704A"/>
    <w:rsid w:val="002C11D5"/>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1D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A611F3DAF4BA4B6E90298C62FB47BB45">
    <w:name w:val="A611F3DAF4BA4B6E90298C62FB47BB45"/>
    <w:rsid w:val="002C11D5"/>
  </w:style>
  <w:style w:type="paragraph" w:customStyle="1" w:styleId="38B65344248142179C384A213E21F964">
    <w:name w:val="38B65344248142179C384A213E21F964"/>
    <w:rsid w:val="002C11D5"/>
  </w:style>
  <w:style w:type="paragraph" w:customStyle="1" w:styleId="490A8FD04B6D47F6AF7C9F22BFD6B3E4">
    <w:name w:val="490A8FD04B6D47F6AF7C9F22BFD6B3E4"/>
    <w:rsid w:val="002C11D5"/>
  </w:style>
  <w:style w:type="paragraph" w:customStyle="1" w:styleId="99A740BBDE114699B65045A861C2AF16">
    <w:name w:val="99A740BBDE114699B65045A861C2AF16"/>
    <w:rsid w:val="002C11D5"/>
  </w:style>
  <w:style w:type="paragraph" w:customStyle="1" w:styleId="424FC77A613A49EF98D76CFF1629A2DC">
    <w:name w:val="424FC77A613A49EF98D76CFF1629A2DC"/>
    <w:rsid w:val="002C11D5"/>
  </w:style>
  <w:style w:type="paragraph" w:customStyle="1" w:styleId="2B98E7A1928E42DCA3CE392A74A6555C">
    <w:name w:val="2B98E7A1928E42DCA3CE392A74A6555C"/>
    <w:rsid w:val="002C11D5"/>
  </w:style>
  <w:style w:type="paragraph" w:customStyle="1" w:styleId="BF345C7CE4EA4B9CB81A511437163DDF">
    <w:name w:val="BF345C7CE4EA4B9CB81A511437163DDF"/>
    <w:rsid w:val="002C11D5"/>
  </w:style>
  <w:style w:type="paragraph" w:customStyle="1" w:styleId="A9B723B6A83641BB8FDA2193167DE200">
    <w:name w:val="A9B723B6A83641BB8FDA2193167DE200"/>
    <w:rsid w:val="002C11D5"/>
  </w:style>
  <w:style w:type="paragraph" w:customStyle="1" w:styleId="E6C011DE710A452FBE57A3FA14D05DB3">
    <w:name w:val="E6C011DE710A452FBE57A3FA14D05DB3"/>
    <w:rsid w:val="002C11D5"/>
  </w:style>
  <w:style w:type="paragraph" w:customStyle="1" w:styleId="7D3A9BCB2176450396FE8FB96F53D950">
    <w:name w:val="7D3A9BCB2176450396FE8FB96F53D950"/>
    <w:rsid w:val="002C11D5"/>
  </w:style>
  <w:style w:type="paragraph" w:customStyle="1" w:styleId="4663B3221D804F5CB19CC43A8DAEB4E9">
    <w:name w:val="4663B3221D804F5CB19CC43A8DAEB4E9"/>
    <w:rsid w:val="002C1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74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we use at the Firm.&lt;/p&gt;&lt;p&gt;So, for example, if we were doing Joimax-Gen Corp, whose Client ID in Clio happens to be 00117, you'd put:&lt;/p&gt;&lt;ul&gt;&lt;li&gt;&lt;span style=\&quot;color: rgb(0, 102, 204);\&quot;&gt;00117 (Joimax-Gen Corp)&lt;/span&gt;&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New Matter - MBK101422&quot;,&quot;id&quot;:&quot;ladd_non_hoa_litigation_new_matter_mbk1014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3506</TotalTime>
  <Pages>122</Pages>
  <Words>35764</Words>
  <Characters>203857</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473</cp:revision>
  <cp:lastPrinted>2019-02-13T22:26:00Z</cp:lastPrinted>
  <dcterms:created xsi:type="dcterms:W3CDTF">2020-06-15T14:53:00Z</dcterms:created>
  <dcterms:modified xsi:type="dcterms:W3CDTF">2022-10-14T16:19:00Z</dcterms:modified>
</cp:coreProperties>
</file>